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797A" w:rsidRPr="00B53FE4" w:rsidRDefault="0019797A" w:rsidP="0019797A">
      <w:pPr>
        <w:spacing w:after="0" w:line="360" w:lineRule="auto"/>
        <w:jc w:val="center"/>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UZASADNIENIE</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p>
    <w:p w:rsidR="0019797A" w:rsidRPr="00B53FE4" w:rsidRDefault="0019797A" w:rsidP="0019797A">
      <w:pPr>
        <w:numPr>
          <w:ilvl w:val="0"/>
          <w:numId w:val="1"/>
        </w:numPr>
        <w:spacing w:after="0" w:line="360" w:lineRule="auto"/>
        <w:textAlignment w:val="baseline"/>
        <w:rPr>
          <w:rFonts w:ascii="Times New Roman" w:eastAsia="Times New Roman" w:hAnsi="Times New Roman" w:cs="Times New Roman"/>
          <w:b/>
          <w:bCs/>
          <w:color w:val="000000"/>
          <w:sz w:val="24"/>
          <w:szCs w:val="24"/>
          <w:lang w:eastAsia="pl-PL"/>
        </w:rPr>
      </w:pPr>
      <w:r w:rsidRPr="00B53FE4">
        <w:rPr>
          <w:rFonts w:ascii="Times New Roman" w:eastAsia="Times New Roman" w:hAnsi="Times New Roman" w:cs="Times New Roman"/>
          <w:b/>
          <w:bCs/>
          <w:color w:val="000000"/>
          <w:sz w:val="24"/>
          <w:szCs w:val="24"/>
          <w:lang w:eastAsia="pl-PL"/>
        </w:rPr>
        <w:t>Potrzeba i cel uchwalenia ustawy</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xml:space="preserve">    </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W Polskim systemie emerytalnym należy dokonać gruntownych zmian, które zapobiegną wysokiemu deficytowi Funduszu Ubezpieczeń Społecznych i przyszłości. Proponowany projekt ustawy powinien rozpocząć dyskusję o zmianach systemowych, które są jednym z największych wyzwań na początek drugiej dekady XXI wieku. </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Proponowany projekt ustawy o zmianie ustawy o systemie ubezpieczeń społecznych oraz niektórych innych ustaw wprowadza kilka znaczących zmian w systemie ubezpieczeń społecznych. Przewiduje on zniesienie rocznego ograniczenia podstawy wymiaru składek w postaci trzydziestokrotności prognozy przeciętnego wynagrodzenia; podniesienie najniższej emerytury i renty do wysokości 1600 złotych, a najniższej renty dla osób częściowo niezdolnych do pracy do wysokości 1200 złotych; oraz wprowadzenie pojęcia najwyższej emerytury w wysokości równej sześciokrotności wynagrodzenia minimalnego w roku poprzedzającym rok przejścia na emeryturę. Celem wprowadzenia wymienionych zmian jest – zgodnie z konstytucyjnymi zasadami sprawiedliwości społecznej (art. 2 Konstytucji) i solidaryzmu społecznego (art. 20) – zapewnienie godnego zabezpieczenia emerytalnego szerszej grupie obywateli oraz umocnienie redystrybucyjnego charakteru systemu ubezpieczeń społecznych.</w:t>
      </w:r>
      <w:r w:rsidRPr="00B53FE4">
        <w:rPr>
          <w:rFonts w:ascii="Times New Roman" w:eastAsia="Times New Roman" w:hAnsi="Times New Roman" w:cs="Times New Roman"/>
          <w:color w:val="000000"/>
          <w:sz w:val="24"/>
          <w:szCs w:val="24"/>
          <w:lang w:eastAsia="pl-PL"/>
        </w:rPr>
        <w:br/>
        <w:t xml:space="preserve">    Jak wskazuje raport Ministerstwa Finansów pt. </w:t>
      </w:r>
      <w:r w:rsidRPr="00B53FE4">
        <w:rPr>
          <w:rFonts w:ascii="Times New Roman" w:eastAsia="Times New Roman" w:hAnsi="Times New Roman" w:cs="Times New Roman"/>
          <w:i/>
          <w:iCs/>
          <w:color w:val="000000"/>
          <w:sz w:val="24"/>
          <w:szCs w:val="24"/>
          <w:lang w:eastAsia="pl-PL"/>
        </w:rPr>
        <w:t>Wybrane aspekty systemu podatkowo-składkowego na podstawie danych PIT i ZUS 2016</w:t>
      </w:r>
      <w:r w:rsidRPr="00B53FE4">
        <w:rPr>
          <w:rFonts w:ascii="Times New Roman" w:eastAsia="Times New Roman" w:hAnsi="Times New Roman" w:cs="Times New Roman"/>
          <w:color w:val="000000"/>
          <w:sz w:val="24"/>
          <w:szCs w:val="24"/>
          <w:lang w:eastAsia="pl-PL"/>
        </w:rPr>
        <w:t>, łączne procentowe obciążenie podatkowo-składkowe ma w Polsce w przypadku płatników osiągających najwyższe dochody charakter degresywny, tj. wraz ze wzrostem dochodu wzmiankowane obciążenie się obniża. Wynika to między innymi z wprowadzonego w ustawie o systemie ubezpieczeń społecznych rocznego ograniczenia podstawy wymiaru składek w postaci trzydziestokrotności kwoty minimalnego wynagrodzenia. Dane na ten temat przedstawione zostały m.in. w tabeli 48 wymienionego raportu:</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lastRenderedPageBreak/>
        <w:t> </w:t>
      </w:r>
      <w:r w:rsidRPr="00B53FE4">
        <w:rPr>
          <w:rFonts w:ascii="Times New Roman" w:eastAsia="Times New Roman" w:hAnsi="Times New Roman" w:cs="Times New Roman"/>
          <w:noProof/>
          <w:color w:val="000000"/>
          <w:sz w:val="24"/>
          <w:szCs w:val="24"/>
          <w:bdr w:val="none" w:sz="0" w:space="0" w:color="auto" w:frame="1"/>
          <w:lang w:eastAsia="pl-PL"/>
        </w:rPr>
        <w:drawing>
          <wp:inline distT="0" distB="0" distL="0" distR="0" wp14:anchorId="69B23B8D" wp14:editId="75A3705A">
            <wp:extent cx="5753100" cy="3590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3590925"/>
                    </a:xfrm>
                    <a:prstGeom prst="rect">
                      <a:avLst/>
                    </a:prstGeom>
                    <a:noFill/>
                    <a:ln>
                      <a:noFill/>
                    </a:ln>
                  </pic:spPr>
                </pic:pic>
              </a:graphicData>
            </a:graphic>
          </wp:inline>
        </w:drawing>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proofErr w:type="spellStart"/>
      <w:r w:rsidRPr="00B53FE4">
        <w:rPr>
          <w:rFonts w:ascii="Times New Roman" w:eastAsia="Times New Roman" w:hAnsi="Times New Roman" w:cs="Times New Roman"/>
          <w:color w:val="000000"/>
          <w:sz w:val="20"/>
          <w:szCs w:val="20"/>
          <w:lang w:eastAsia="pl-PL"/>
        </w:rPr>
        <w:t>Żródło</w:t>
      </w:r>
      <w:proofErr w:type="spellEnd"/>
      <w:r w:rsidRPr="00B53FE4">
        <w:rPr>
          <w:rFonts w:ascii="Times New Roman" w:eastAsia="Times New Roman" w:hAnsi="Times New Roman" w:cs="Times New Roman"/>
          <w:color w:val="000000"/>
          <w:sz w:val="20"/>
          <w:szCs w:val="20"/>
          <w:lang w:eastAsia="pl-PL"/>
        </w:rPr>
        <w:t xml:space="preserve">: P. Chrostek, J. </w:t>
      </w:r>
      <w:proofErr w:type="spellStart"/>
      <w:r w:rsidRPr="00B53FE4">
        <w:rPr>
          <w:rFonts w:ascii="Times New Roman" w:eastAsia="Times New Roman" w:hAnsi="Times New Roman" w:cs="Times New Roman"/>
          <w:color w:val="000000"/>
          <w:sz w:val="20"/>
          <w:szCs w:val="20"/>
          <w:lang w:eastAsia="pl-PL"/>
        </w:rPr>
        <w:t>Klejdysz</w:t>
      </w:r>
      <w:proofErr w:type="spellEnd"/>
      <w:r w:rsidRPr="00B53FE4">
        <w:rPr>
          <w:rFonts w:ascii="Times New Roman" w:eastAsia="Times New Roman" w:hAnsi="Times New Roman" w:cs="Times New Roman"/>
          <w:color w:val="000000"/>
          <w:sz w:val="20"/>
          <w:szCs w:val="20"/>
          <w:lang w:eastAsia="pl-PL"/>
        </w:rPr>
        <w:t>, D. Korniluk, M. Skawiński, “Wybrane aspekty systemu podatkowo-składkowego na podstawie danych PIT i ZUS 2016”, Ministerstwo Finansów 2019, s. 59.</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Proponowany projekt ustawy znosi ograniczenie, o którym mowa wyżej, tym samym ograniczając degresywny charakter systemu podatkowo-składkowego. Należy jednak zauważyć, że usunięcie tego ograniczenia bez wprowadzenia dodatkowych przepisów oznaczałoby rezygnację z funkcjonującego obecnie „spłaszczenia” wysokości emerytur. Dlatego projekt ustawy zakłada wprowadzenie pojęcia najwyższej emerytury w wysokości równej sześciokrotności wynagrodzenia minimalnego w roku poprzedzającym rok przejścia na emeryturę.</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Jak wskazał Trybunał Konstytucyjny w uzasadnieniu do wyroku z dnia 4 listopada 2015 r., “[u]</w:t>
      </w:r>
      <w:proofErr w:type="spellStart"/>
      <w:r w:rsidRPr="00B53FE4">
        <w:rPr>
          <w:rFonts w:ascii="Times New Roman" w:eastAsia="Times New Roman" w:hAnsi="Times New Roman" w:cs="Times New Roman"/>
          <w:color w:val="000000"/>
          <w:sz w:val="24"/>
          <w:szCs w:val="24"/>
          <w:lang w:eastAsia="pl-PL"/>
        </w:rPr>
        <w:t>iszczanie</w:t>
      </w:r>
      <w:proofErr w:type="spellEnd"/>
      <w:r w:rsidRPr="00B53FE4">
        <w:rPr>
          <w:rFonts w:ascii="Times New Roman" w:eastAsia="Times New Roman" w:hAnsi="Times New Roman" w:cs="Times New Roman"/>
          <w:color w:val="000000"/>
          <w:sz w:val="24"/>
          <w:szCs w:val="24"/>
          <w:lang w:eastAsia="pl-PL"/>
        </w:rPr>
        <w:t xml:space="preserve"> daniny publicznej w postaci składki emerytalnej jest obowiązkiem każdego ubezpieczonego (art. 84 Konstytucji). Ubezpieczony nie ma wszakże wpływu na wysokość ani na zasady jej opłacania. Środki pochodzące ze składki emerytalnej nie mogą być zatem rozumiane – w sensie konstytucyjnym – jako własność prywatna ubezpieczonych. Stanowią publiczne środki finansowe przeznaczone na pokrycie publicznych zobowiązań wynikających z ubezpieczenia społecznego” (sygn. akt K 1/14, OTK ZU 10A/2015, poz. 163, pkt 5.3). Tym samym Trybunał Konstytucyjny uznał, że środki te powinny służyć wypełnieniu jednego z zadań państwa, jakim jest zabezpieczenie społeczne. Trybunał Konstytucyjny definiuje ten </w:t>
      </w:r>
      <w:r w:rsidRPr="00B53FE4">
        <w:rPr>
          <w:rFonts w:ascii="Times New Roman" w:eastAsia="Times New Roman" w:hAnsi="Times New Roman" w:cs="Times New Roman"/>
          <w:color w:val="000000"/>
          <w:sz w:val="24"/>
          <w:szCs w:val="24"/>
          <w:lang w:eastAsia="pl-PL"/>
        </w:rPr>
        <w:lastRenderedPageBreak/>
        <w:t>termin jako “ochronę obywateli w razie wystąpienia określonego ryzyka ubezpieczeniowego,  powodującego całkowitą lub częściową utratę możliwości samodzielnego utrzymania się” (zob. wyrok TK z 25 czerwca 2013 r., sygn. P 11/12, OTK ZU nr 5/A/2013, poz. 62, cz. III, pkt 3.2). Zarządzając środkami publicznymi, państwo powinno kierować się zatem celem w postaci zabezpieczenia społecznego i zasadą sprawiedliwości społecznej. Prowadzi to do redystrybucyjnej funkcji świadczenia emerytalnego, która jest wypełniana przez przepisy proponowanej ustawy. </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Wprowadzenie instytucji prawnej najwyższej emerytury zbliża konstrukcję składki emerytalnej do innych składek, zwłaszcza składki chorobowej. Ubezpieczony może i powinien oczekiwać świadczenia wzajemnego, jednak stopień wzajemności świadczenia zależy od czynników odrębnych od składki. Podobnie ze świadczeniem emerytalnym, gdzie najwyższa emerytura stanowi dopełnienie emerytury minimalnej. Oczywistym jest natomiast stwierdzenie, że proponowane regulacje dotyczą jedynie emerytur wypłacanych z Funduszu Ubezpieczeń Społecznych. Prywatne oszczędności nie podlegają regulacjom najniższej i najwyższej emerytury. </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Proponowane zmiany są również odpowiedzią na zaobserwowany trend w strukturze demograficznej. Badania pokazują, że osoby z najwyższym wynagrodzeniem żyją dłużej niż osoby pobierające po przejściu na emeryturę świadczenie minimalne lub bliskie minimalnemu. Oznacza to, że osoby najlepiej zarabiające najdłużej pobierają emeryturę i dzięki proponowanym rozwiązaniom zmniejszy się nierównowaga pomiędzy sumą środków wypłaconych przez FUS w poszczególnych grupach dochodowych i wiekowych. Jednocześnie podwyższona zostanie jakość życia osób najuboższych, a stan osób najbogatszych pozostanie na podobnym poziomie. Należy przypomnieć, że na podstawie proponowanych zmian najwyższa emerytura w 2021 roku ma wynieść 15600 złotych, a w 2024 - według zapowiedzi rządu dotyczących planowanego wynagrodzenia minimalnego - już 24000 złotych. </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Z chwilą wejścia w życie przepisów o najwyższe emeryturze przepisy dotyczące limitu 250% dla wskaźnika podstawy wymiaru emerytury tracą swoją funkcję, przez co są uchylane zgodnie z propozycją wnioskodawców.</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Jednocześnie należy wskazać, że nie ma możliwości podjęcia alternatywnych, w stosunku do projektowanych rozwiązań, środków umożliwiających osiągnięcie zamierzonego celu.</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p>
    <w:p w:rsidR="0019797A" w:rsidRPr="00B53FE4" w:rsidRDefault="0019797A" w:rsidP="0019797A">
      <w:pPr>
        <w:numPr>
          <w:ilvl w:val="0"/>
          <w:numId w:val="2"/>
        </w:numPr>
        <w:spacing w:after="0" w:line="360" w:lineRule="auto"/>
        <w:textAlignment w:val="baseline"/>
        <w:rPr>
          <w:rFonts w:ascii="Times New Roman" w:eastAsia="Times New Roman" w:hAnsi="Times New Roman" w:cs="Times New Roman"/>
          <w:b/>
          <w:bCs/>
          <w:color w:val="000000"/>
          <w:sz w:val="24"/>
          <w:szCs w:val="24"/>
          <w:lang w:eastAsia="pl-PL"/>
        </w:rPr>
      </w:pPr>
      <w:r w:rsidRPr="00B53FE4">
        <w:rPr>
          <w:rFonts w:ascii="Times New Roman" w:eastAsia="Times New Roman" w:hAnsi="Times New Roman" w:cs="Times New Roman"/>
          <w:b/>
          <w:bCs/>
          <w:color w:val="000000"/>
          <w:sz w:val="24"/>
          <w:szCs w:val="24"/>
          <w:lang w:eastAsia="pl-PL"/>
        </w:rPr>
        <w:t>Projektowane rozwiązania</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lastRenderedPageBreak/>
        <w:t xml:space="preserve">W art. 1 proponuje się zmiany w ustawie z dnia 13 października 1998 r. o systemie ubezpieczeń społecznych (Dz. U. z 2019 r. poz. 300, z </w:t>
      </w:r>
      <w:proofErr w:type="spellStart"/>
      <w:r w:rsidRPr="00B53FE4">
        <w:rPr>
          <w:rFonts w:ascii="Times New Roman" w:eastAsia="Times New Roman" w:hAnsi="Times New Roman" w:cs="Times New Roman"/>
          <w:color w:val="000000"/>
          <w:sz w:val="24"/>
          <w:szCs w:val="24"/>
          <w:lang w:eastAsia="pl-PL"/>
        </w:rPr>
        <w:t>późn</w:t>
      </w:r>
      <w:proofErr w:type="spellEnd"/>
      <w:r w:rsidRPr="00B53FE4">
        <w:rPr>
          <w:rFonts w:ascii="Times New Roman" w:eastAsia="Times New Roman" w:hAnsi="Times New Roman" w:cs="Times New Roman"/>
          <w:color w:val="000000"/>
          <w:sz w:val="24"/>
          <w:szCs w:val="24"/>
          <w:lang w:eastAsia="pl-PL"/>
        </w:rPr>
        <w:t>. zm.; dalej: “</w:t>
      </w:r>
      <w:proofErr w:type="spellStart"/>
      <w:r w:rsidRPr="00B53FE4">
        <w:rPr>
          <w:rFonts w:ascii="Times New Roman" w:eastAsia="Times New Roman" w:hAnsi="Times New Roman" w:cs="Times New Roman"/>
          <w:color w:val="000000"/>
          <w:sz w:val="24"/>
          <w:szCs w:val="24"/>
          <w:lang w:eastAsia="pl-PL"/>
        </w:rPr>
        <w:t>u.s.u.s</w:t>
      </w:r>
      <w:proofErr w:type="spellEnd"/>
      <w:r w:rsidRPr="00B53FE4">
        <w:rPr>
          <w:rFonts w:ascii="Times New Roman" w:eastAsia="Times New Roman" w:hAnsi="Times New Roman" w:cs="Times New Roman"/>
          <w:color w:val="000000"/>
          <w:sz w:val="24"/>
          <w:szCs w:val="24"/>
          <w:lang w:eastAsia="pl-PL"/>
        </w:rPr>
        <w:t xml:space="preserve">.”). Proponowane zmiany przewidują zniesienie przepisów ustalających limit rocznej podstawy wymiaru składek na ubezpieczenia emerytalne i rentowe. Dotychczasowy limit wynosi trzydziestokrotność prognozowanego przeciętnego wynagrodzenia miesięcznego w gospodarce narodowej na dany rok kalendarzowy. Zgodnie z propozycją nowelizacji art. 19 ust. 1 </w:t>
      </w:r>
      <w:proofErr w:type="spellStart"/>
      <w:r w:rsidRPr="00B53FE4">
        <w:rPr>
          <w:rFonts w:ascii="Times New Roman" w:eastAsia="Times New Roman" w:hAnsi="Times New Roman" w:cs="Times New Roman"/>
          <w:color w:val="000000"/>
          <w:sz w:val="24"/>
          <w:szCs w:val="24"/>
          <w:lang w:eastAsia="pl-PL"/>
        </w:rPr>
        <w:t>u.s.u.s</w:t>
      </w:r>
      <w:proofErr w:type="spellEnd"/>
      <w:r w:rsidRPr="00B53FE4">
        <w:rPr>
          <w:rFonts w:ascii="Times New Roman" w:eastAsia="Times New Roman" w:hAnsi="Times New Roman" w:cs="Times New Roman"/>
          <w:color w:val="000000"/>
          <w:sz w:val="24"/>
          <w:szCs w:val="24"/>
          <w:lang w:eastAsia="pl-PL"/>
        </w:rPr>
        <w:t>. taki limit zostanie zniesiony w całości. Minister właściwy do spraw zabezpieczenia społecznego nadal będzie miał obowiązek wydania obwieszczenia, w którym będzie podawać jedynie kwotę przeciętnego wynagrodzenia miesięcznego na potrzeby wyliczania podstawy wymiaru składek i innych obliczeń wskazanych w ustawie. </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W art. 2 proponuje się zmianę ustawy o zaopatrzeniu inwalidów wojennych i wojskowych oraz ich rodzin w zakresie podstawy wymiaru renty inwalidzkiej. Zmiana polega na waloryzacji wartości podstawy wymiaru o 7% - do 2813,21 złotych. To wzrost analogiczny do przewidzianego w nowelizacji ustawy z 2018 roku.</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Art. 3-6 i art. 8-11 dostosowują przepisy szczegółowe w odrębnych ustawach do zmian proponowanych w art. 1 projektowanej ustawy.</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W ślad za zmianami w systemie składek należy dokonać odpowiednich zmian w systemie świadczeń. W art. 7 proponuje się zmianę art. 26 ustawy o emeryturach i rentach z Funduszu Ubezpieczeń Społecznych (dalej: “ustawa emerytalna” oraz dodanie art. 26d-26g. W art. 26 do zasady obliczania wysokości emerytury dodaje się zastrzeżenie z art. 26d. Proponowany art. 26d ustawy o emeryturach wprowadza nowe pojęcie najwyższej emerytury. Zgodnie z proponowaną definicją to równowartość sześciokrotności kwoty minimalnego wynagrodzenia obowiązującego w lipcu roku kalendarzowego poprzedzającego rok przejścia na emeryturę. Oznacza to, że w pierwszym roku obowiązywania tego przepisu najwyższa emerytura będzie wynosić 15 600 złotych. Jej wysokość w każdym roku będzie ogłaszana przez ministra właściwego do spraw zabezpieczenia społecznego w drodze obwieszczenia. </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b/>
          <w:bCs/>
          <w:color w:val="000000"/>
          <w:sz w:val="24"/>
          <w:szCs w:val="24"/>
          <w:lang w:eastAsia="pl-PL"/>
        </w:rPr>
        <w:t xml:space="preserve">    </w:t>
      </w:r>
      <w:r w:rsidRPr="00B53FE4">
        <w:rPr>
          <w:rFonts w:ascii="Times New Roman" w:eastAsia="Times New Roman" w:hAnsi="Times New Roman" w:cs="Times New Roman"/>
          <w:color w:val="000000"/>
          <w:sz w:val="24"/>
          <w:szCs w:val="24"/>
          <w:lang w:eastAsia="pl-PL"/>
        </w:rPr>
        <w:t>W proponowanym art. 26e ustawy emerytalnej wprowadza się zasadę przyznawania emerytury do wysokości najwyższej emerytury. Jeżeli emerytura wyliczona na zasadach ogólnych jest wyższa niż najwyższa emerytura, przyznaje się emeryturę o wysokości ustalonej przez sześciokrotność minimalnego wynagrodzenia. Najwyższa emerytura podlega waloryzacji na zasadach ogólnych. Oznacza to, że w przypadku przejścia na emeryturę w 2021 roku jeżeli emeryt uzyskuje najwyższą emeryturę w wysokości 15 600 złotych, w roku następnym jego emerytura będzie wyższa o wskaźnik waloryzacji, a nie o wskaźnik wzrostu minimalnego wynagrodzenia. </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lastRenderedPageBreak/>
        <w:t>    Proponowany art. 26f przewiduje trzy wyjątki w stosowaniu najwyższej emerytury. Pierwszy wyjątek odnosi się do wszystkich emerytur obliczonych przed wejściem w życie przepisu. Oznacza to, że wszyscy obecni emeryci będą pobierać swoją emeryturę niezależnie od tego, czy przekracza ona kwotę sześciokrotności minimalnego wynagrodzenia. Wszystkie emerytury przyznane przed 1 stycznia 2021 roku również będą wyłączone z tej zasady. To oznacza, że jeżeli emeryt przejdzie 31 grudnia 2020 roku na emeryturę w wysokości powyżej 15 600 złotych, zachowa ją po 1 stycznia 2021 roku wraz z należnymi waloryzacjami. Druga kategoria wyjątków to emerytury i renty przyznane na podstawie przepisów odrębnych. Odrębne przepisy znajdują zastosowanie m.in. w emeryturach policjantów, funkcjonariuszy ABW, CBA, czy też żołnierzy zawodowych. Emerytury te mają charakter szczególny, co zostało podkreślone w odrębnych regulacjach w ramach systemu zaopatrzeniowego. Do momentu przeprowadzenia pełnej reformy systemu emerytalnego należy zdaniem wnioskodawców utrzymać specyfikę świadczeń spoza ustawy emerytalnej. Trzeci wyjątek jest związany z wejściem części ubezpieczonych w wiek przedemerytalny. Chcąc zachować specyfikę tego okresu zdecydowano się wyłączyć tę grupę z proponowanych przepisów. Osoby urodzone przed 1 stycznia 1958 (w przypadku mężczyzn) Podobnie, jeżeli ubezpieczeni urodzeni przed wskazanymi datami przejdą na emeryturę później niż przewiduje próg określony w art. 24 ust. 1 ustawy emerytalnej, zachowają uprawnienie do emerytury powyżej najwyższej emerytury w proponowanym art. 26d ustawy emerytalnej. </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W tym samym artykule proponuje się wzrost emerytury i renty minimalnej do kwoty 1600 złotych. Wzrost stanowi wyrównanie tej kwoty do ok. 70% wynagrodzenia minimalnego, co jest standardem w różnych modelach emerytalnych. Zmiana będzie dotyczyła około 1,357 mln emerytów. </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W art. 12 proponuje się ujednolicenie kwot świadczenia przedemerytalnego i najniższej emerytury dla ułatwienia funkcjonowania systemu. Zrównanie tych świadczeń koresponduje z socjalną funkcją emerytury minimalnej - ma ona zapewnić godne warunki życia w warunkach zwiększonych wydatków, m.in. na leki i opiekę zdrowotną. Podobną funkcję powinno spełniać również świadczenie przedemerytalne.</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Przepisy art. 13-21 dostosowują inne ustawy do proponowanych zmian.</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xml:space="preserve">    W art. 22 wprowadza się regułę nieobowiązywania ustawy wstecz. Do wejścia w życie kolejnych przepisów składki będą pobierane na zasadach dotychczasowych. Na tej samej zasadzie będą przyznawane emerytury i renty do dnia poprzedzającego dzień wejścia w życie odpowiednich przepisów. Żadne składki nie będą również pobierane wstecznie. Dla części ubezpieczonych oznacza to dwa okresy składkowe - pierwszy, z limitem 30-krotności i drugi, </w:t>
      </w:r>
      <w:r w:rsidRPr="00B53FE4">
        <w:rPr>
          <w:rFonts w:ascii="Times New Roman" w:eastAsia="Times New Roman" w:hAnsi="Times New Roman" w:cs="Times New Roman"/>
          <w:color w:val="000000"/>
          <w:sz w:val="24"/>
          <w:szCs w:val="24"/>
          <w:lang w:eastAsia="pl-PL"/>
        </w:rPr>
        <w:lastRenderedPageBreak/>
        <w:t>bez limitu. W takiej sytuacji znajdzie się ok. 370 tysięcy osób w pierwszym roku obowiązywania proponowanej ustawy. W związku z przechodzeniem kolejnych roczników na emeryturę, dwa okresy składkowe przestaną dotyczyć adresatów projektu około roku 2050. Nie niesie to jednak żadnych skutków w postaci dodatkowych procedur. </w:t>
      </w: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xml:space="preserve">W art. 23 ustala się </w:t>
      </w:r>
      <w:r w:rsidRPr="00B53FE4">
        <w:rPr>
          <w:rFonts w:ascii="Times New Roman" w:eastAsia="Times New Roman" w:hAnsi="Times New Roman" w:cs="Times New Roman"/>
          <w:i/>
          <w:iCs/>
          <w:color w:val="000000"/>
          <w:sz w:val="24"/>
          <w:szCs w:val="24"/>
          <w:lang w:eastAsia="pl-PL"/>
        </w:rPr>
        <w:t>vacatio legis</w:t>
      </w:r>
      <w:r w:rsidRPr="00B53FE4">
        <w:rPr>
          <w:rFonts w:ascii="Times New Roman" w:eastAsia="Times New Roman" w:hAnsi="Times New Roman" w:cs="Times New Roman"/>
          <w:color w:val="000000"/>
          <w:sz w:val="24"/>
          <w:szCs w:val="24"/>
          <w:lang w:eastAsia="pl-PL"/>
        </w:rPr>
        <w:t xml:space="preserve"> proponowanej ustawy. Ze względu na poszanowanie zasady demokratycznego państwa prawnego oraz zbiegu z innymi przepisami wchodzącymi w życie w następnych miesiącach, zdecydowano się na wprowadzenie czterech terminów wejścia w życie. Pierwszy to termin ogólny wejścia w życie z dniem 1 stycznia 2020 roku. Dotyczy on wszystkich przepisów, o ile ustawa nie stanowi inaczej. Drugi termin dotyczy obwieszczenia o prognozowanym przeciętnym wynagrodzeniu miesięcznym w gospodarce narodowej. Obwieszczenie to powinno zostać wydane bez zbędnej zwłoki, co zostało podkreślone przez proponowany termin wejścia w życie tego przepisu z dniem następującym po ogłoszeniu ustawy. Trzeci termin dotyczy przepisów art. 7 pkt 1 i 2 proponowanej ustawy, które wprowadzają pojęcie najwyższej emerytury. W związku, z tym, że konstrukcja ta nie była wcześniej znana polskiemu ustawodawstwu, należy odpowiednio przygotować wykonanie tych przepisów, a przede wszystkim - poinformować adresatów projektowanych przepisów. Stąd proponowana data wejścia w życie tego przepisu to 1 stycznia 2021 roku. Trzeci okres do wejścia w życie niniejszej ustawy wiąże się z dotychczasową praktyką wejścia w życie przepisów waloryzacyjnych i zwiększających minimalną emeryturę z dniem 1 marca roku następującego po ogłoszeniu ustawy.</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xml:space="preserve">    </w:t>
      </w:r>
    </w:p>
    <w:p w:rsidR="0019797A" w:rsidRPr="00B53FE4" w:rsidRDefault="0019797A" w:rsidP="0019797A">
      <w:pPr>
        <w:numPr>
          <w:ilvl w:val="0"/>
          <w:numId w:val="3"/>
        </w:numPr>
        <w:spacing w:after="0" w:line="360" w:lineRule="auto"/>
        <w:textAlignment w:val="baseline"/>
        <w:rPr>
          <w:rFonts w:ascii="Times New Roman" w:eastAsia="Times New Roman" w:hAnsi="Times New Roman" w:cs="Times New Roman"/>
          <w:b/>
          <w:bCs/>
          <w:color w:val="000000"/>
          <w:sz w:val="24"/>
          <w:szCs w:val="24"/>
          <w:lang w:eastAsia="pl-PL"/>
        </w:rPr>
      </w:pPr>
      <w:r w:rsidRPr="00B53FE4">
        <w:rPr>
          <w:rFonts w:ascii="Times New Roman" w:eastAsia="Times New Roman" w:hAnsi="Times New Roman" w:cs="Times New Roman"/>
          <w:b/>
          <w:bCs/>
          <w:color w:val="000000"/>
          <w:sz w:val="24"/>
          <w:szCs w:val="24"/>
          <w:lang w:eastAsia="pl-PL"/>
        </w:rPr>
        <w:t>Źródła finansowania</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p>
    <w:p w:rsidR="0019797A" w:rsidRPr="00B53FE4" w:rsidRDefault="0019797A" w:rsidP="0019797A">
      <w:pPr>
        <w:spacing w:after="0" w:line="360" w:lineRule="auto"/>
        <w:ind w:firstLine="720"/>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Niniejszy projekt ustawy generuje dodatkowe przychody do Funduszu Ubezpieczeń Społecznych. Z szacunków przedstawionych 6 listopada br. przez Ministra Finansów wynika, że wzrost wpływów do FUS w pierwszym roku obowiązywania ustawy wyniesie około 5,2 mld złotych. Dodatkowy koszt wynikający z podwyższenia emerytury minimalnej i innych świadczeń wskazanych w projektowanej ustawie wyniesie około 3,282 mld złotych. W związku z tym bilans zmian jest dodatni i zwiększa zasoby FUS o ok. 2 mld złotych rocznie. </w:t>
      </w:r>
    </w:p>
    <w:p w:rsidR="0019797A" w:rsidRDefault="0019797A" w:rsidP="0019797A">
      <w:pPr>
        <w:spacing w:after="0" w:line="360" w:lineRule="auto"/>
        <w:jc w:val="both"/>
        <w:rPr>
          <w:rFonts w:ascii="Times New Roman" w:eastAsia="Times New Roman" w:hAnsi="Times New Roman" w:cs="Times New Roman"/>
          <w:color w:val="000000"/>
          <w:sz w:val="24"/>
          <w:szCs w:val="24"/>
          <w:lang w:eastAsia="pl-PL"/>
        </w:rPr>
      </w:pPr>
      <w:r w:rsidRPr="00B53FE4">
        <w:rPr>
          <w:rFonts w:ascii="Times New Roman" w:eastAsia="Times New Roman" w:hAnsi="Times New Roman" w:cs="Times New Roman"/>
          <w:color w:val="000000"/>
          <w:sz w:val="24"/>
          <w:szCs w:val="24"/>
          <w:lang w:eastAsia="pl-PL"/>
        </w:rPr>
        <w:t xml:space="preserve">    Jednym ze skutków wprowadzenia proponowanych przepisów w życie będzie zmniejszenie wpływów do Narodowego Funduszu Zdrowia ze składek na ubezpieczenie zdrowotne. Spadek wpływów szacuje się na 1,00-1,19 mld złotych rocznie. Wzrost emerytury minimalnej i innych świadczeń częściowo zrównoważy tę lukę poprzez zwiększenie wpływów o około 423 mln złotych rocznie. Pozostałą lukę w wysokości 577-767 mln złotych należy uzupełnić na </w:t>
      </w:r>
      <w:r w:rsidRPr="00B53FE4">
        <w:rPr>
          <w:rFonts w:ascii="Times New Roman" w:eastAsia="Times New Roman" w:hAnsi="Times New Roman" w:cs="Times New Roman"/>
          <w:color w:val="000000"/>
          <w:sz w:val="24"/>
          <w:szCs w:val="24"/>
          <w:lang w:eastAsia="pl-PL"/>
        </w:rPr>
        <w:lastRenderedPageBreak/>
        <w:t>podstawie innych źródeł. Najlepszym potencjalnym źródłem są zwiększone wpływy z podatku akcyzowego na podstawie rządowego projektu ustawy o zmianie ustawy o podatku akcyzowym (druk nr 15, IX Kadencja Sejmu). W przypadku wykorzystania części środków z tego źródła równowaga w NFZ zostanie zachowana, a projekt pozytywnie wpłynie na kondycję finansów publicznych w krótkim okresie. </w:t>
      </w:r>
    </w:p>
    <w:p w:rsidR="0019797A" w:rsidRPr="00810DA5" w:rsidRDefault="0019797A" w:rsidP="0019797A">
      <w:pPr>
        <w:spacing w:after="0" w:line="360" w:lineRule="auto"/>
        <w:ind w:firstLine="28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Wnioskodawcy zauważają problem potencjalnej zmiany formy zatrudnienia ze stosunku pracy od jednoosobowej działalności gospodarczej. W związku z tym rekomenduje się podjęcie prac nad zmianą systemu podatkowego, zmierzającą do zwiększenia progresji podatkowej przed przejściem na emeryturę pierwszych roczników na podstawie proponowanej ustawy.</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xml:space="preserve">    </w:t>
      </w:r>
    </w:p>
    <w:p w:rsidR="0019797A" w:rsidRPr="00B53FE4" w:rsidRDefault="0019797A" w:rsidP="0019797A">
      <w:pPr>
        <w:numPr>
          <w:ilvl w:val="0"/>
          <w:numId w:val="4"/>
        </w:numPr>
        <w:spacing w:after="0" w:line="360" w:lineRule="auto"/>
        <w:textAlignment w:val="baseline"/>
        <w:rPr>
          <w:rFonts w:ascii="Times New Roman" w:eastAsia="Times New Roman" w:hAnsi="Times New Roman" w:cs="Times New Roman"/>
          <w:b/>
          <w:bCs/>
          <w:color w:val="000000"/>
          <w:sz w:val="24"/>
          <w:szCs w:val="24"/>
          <w:lang w:eastAsia="pl-PL"/>
        </w:rPr>
      </w:pPr>
      <w:r w:rsidRPr="00B53FE4">
        <w:rPr>
          <w:rFonts w:ascii="Times New Roman" w:eastAsia="Times New Roman" w:hAnsi="Times New Roman" w:cs="Times New Roman"/>
          <w:b/>
          <w:bCs/>
          <w:color w:val="000000"/>
          <w:sz w:val="24"/>
          <w:szCs w:val="24"/>
          <w:lang w:eastAsia="pl-PL"/>
        </w:rPr>
        <w:t>Oświadczenie o zgodności projektu ustawy z prawem Unii Europejskiej i braku obowiązku przedstawienia projektu instytucjom Unii Europejskiej</w:t>
      </w:r>
    </w:p>
    <w:p w:rsidR="0019797A" w:rsidRPr="00B53FE4" w:rsidRDefault="0019797A" w:rsidP="0019797A">
      <w:pPr>
        <w:spacing w:after="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 xml:space="preserve">W ocenie projektodawcy przedmiot projektowanej regulacji nie jest </w:t>
      </w:r>
      <w:r>
        <w:rPr>
          <w:rFonts w:ascii="Times New Roman" w:eastAsia="Times New Roman" w:hAnsi="Times New Roman" w:cs="Times New Roman"/>
          <w:color w:val="000000"/>
          <w:sz w:val="24"/>
          <w:szCs w:val="24"/>
          <w:lang w:eastAsia="pl-PL"/>
        </w:rPr>
        <w:t>objęty prawem Unii Europejskiej.</w:t>
      </w:r>
    </w:p>
    <w:p w:rsidR="0019797A" w:rsidRPr="00B53FE4" w:rsidRDefault="0019797A" w:rsidP="0019797A">
      <w:pPr>
        <w:spacing w:after="0" w:line="360" w:lineRule="auto"/>
        <w:rPr>
          <w:rFonts w:ascii="Times New Roman" w:eastAsia="Times New Roman" w:hAnsi="Times New Roman" w:cs="Times New Roman"/>
          <w:sz w:val="24"/>
          <w:szCs w:val="24"/>
          <w:lang w:eastAsia="pl-PL"/>
        </w:rPr>
      </w:pPr>
    </w:p>
    <w:p w:rsidR="0019797A" w:rsidRPr="00B53FE4" w:rsidRDefault="0019797A" w:rsidP="0019797A">
      <w:pPr>
        <w:numPr>
          <w:ilvl w:val="0"/>
          <w:numId w:val="5"/>
        </w:numPr>
        <w:spacing w:after="0" w:line="360" w:lineRule="auto"/>
        <w:textAlignment w:val="baseline"/>
        <w:rPr>
          <w:rFonts w:ascii="Times New Roman" w:eastAsia="Times New Roman" w:hAnsi="Times New Roman" w:cs="Times New Roman"/>
          <w:b/>
          <w:bCs/>
          <w:color w:val="000000"/>
          <w:sz w:val="24"/>
          <w:szCs w:val="24"/>
          <w:lang w:eastAsia="pl-PL"/>
        </w:rPr>
      </w:pPr>
      <w:r w:rsidRPr="00B53FE4">
        <w:rPr>
          <w:rFonts w:ascii="Times New Roman" w:eastAsia="Times New Roman" w:hAnsi="Times New Roman" w:cs="Times New Roman"/>
          <w:b/>
          <w:bCs/>
          <w:color w:val="000000"/>
          <w:sz w:val="24"/>
          <w:szCs w:val="24"/>
          <w:lang w:eastAsia="pl-PL"/>
        </w:rPr>
        <w:t>Brak obowiązku notyfikacji zgodnie z przepisami dotyczącymi funkcjonowania krajowego systemu notyfikacji norm i aktów prawnych</w:t>
      </w:r>
    </w:p>
    <w:p w:rsidR="0019797A" w:rsidRPr="00B53FE4" w:rsidRDefault="0019797A" w:rsidP="0019797A">
      <w:pPr>
        <w:spacing w:after="360" w:line="360" w:lineRule="auto"/>
        <w:jc w:val="both"/>
        <w:rPr>
          <w:rFonts w:ascii="Times New Roman" w:eastAsia="Times New Roman" w:hAnsi="Times New Roman" w:cs="Times New Roman"/>
          <w:sz w:val="24"/>
          <w:szCs w:val="24"/>
          <w:lang w:eastAsia="pl-PL"/>
        </w:rPr>
      </w:pPr>
      <w:r w:rsidRPr="00B53FE4">
        <w:rPr>
          <w:rFonts w:ascii="Times New Roman" w:eastAsia="Times New Roman" w:hAnsi="Times New Roman" w:cs="Times New Roman"/>
          <w:color w:val="000000"/>
          <w:sz w:val="24"/>
          <w:szCs w:val="24"/>
          <w:lang w:eastAsia="pl-PL"/>
        </w:rPr>
        <w:t>Projekt ustawy nie wymaga przedstawienia właściwym organom i instytucjom Unii Europejskiej, w tym Europejskiemu Bankowi Centralnemu, w celu uzyskania opinii, dokonania powiadomienia, konsultacji lub uzgodnienia.</w:t>
      </w:r>
    </w:p>
    <w:p w:rsidR="0019797A" w:rsidRDefault="0019797A" w:rsidP="0019797A">
      <w:pPr>
        <w:numPr>
          <w:ilvl w:val="0"/>
          <w:numId w:val="6"/>
        </w:numPr>
        <w:spacing w:after="0" w:line="360" w:lineRule="auto"/>
        <w:textAlignment w:val="baseline"/>
        <w:rPr>
          <w:rFonts w:ascii="Times New Roman" w:eastAsia="Times New Roman" w:hAnsi="Times New Roman" w:cs="Times New Roman"/>
          <w:b/>
          <w:bCs/>
          <w:color w:val="000000"/>
          <w:sz w:val="24"/>
          <w:szCs w:val="24"/>
          <w:lang w:eastAsia="pl-PL"/>
        </w:rPr>
      </w:pPr>
      <w:r w:rsidRPr="00B53FE4">
        <w:rPr>
          <w:rFonts w:ascii="Times New Roman" w:eastAsia="Times New Roman" w:hAnsi="Times New Roman" w:cs="Times New Roman"/>
          <w:b/>
          <w:bCs/>
          <w:color w:val="000000"/>
          <w:sz w:val="24"/>
          <w:szCs w:val="24"/>
          <w:lang w:eastAsia="pl-PL"/>
        </w:rPr>
        <w:t xml:space="preserve">Wpływ na działalność </w:t>
      </w:r>
      <w:proofErr w:type="spellStart"/>
      <w:r w:rsidRPr="00B53FE4">
        <w:rPr>
          <w:rFonts w:ascii="Times New Roman" w:eastAsia="Times New Roman" w:hAnsi="Times New Roman" w:cs="Times New Roman"/>
          <w:b/>
          <w:bCs/>
          <w:color w:val="000000"/>
          <w:sz w:val="24"/>
          <w:szCs w:val="24"/>
          <w:lang w:eastAsia="pl-PL"/>
        </w:rPr>
        <w:t>mikroprzedsiębiorców</w:t>
      </w:r>
      <w:proofErr w:type="spellEnd"/>
      <w:r w:rsidRPr="00B53FE4">
        <w:rPr>
          <w:rFonts w:ascii="Times New Roman" w:eastAsia="Times New Roman" w:hAnsi="Times New Roman" w:cs="Times New Roman"/>
          <w:b/>
          <w:bCs/>
          <w:color w:val="000000"/>
          <w:sz w:val="24"/>
          <w:szCs w:val="24"/>
          <w:lang w:eastAsia="pl-PL"/>
        </w:rPr>
        <w:t xml:space="preserve"> oraz małych i średnich przedsiębiorców</w:t>
      </w:r>
    </w:p>
    <w:p w:rsidR="0019797A" w:rsidRPr="00810DA5" w:rsidRDefault="0019797A" w:rsidP="0019797A">
      <w:pPr>
        <w:spacing w:after="0" w:line="360" w:lineRule="auto"/>
        <w:jc w:val="both"/>
        <w:rPr>
          <w:rFonts w:ascii="Times New Roman" w:eastAsia="Times New Roman" w:hAnsi="Times New Roman" w:cs="Times New Roman"/>
          <w:color w:val="000000"/>
          <w:sz w:val="24"/>
          <w:szCs w:val="24"/>
          <w:lang w:eastAsia="pl-PL"/>
        </w:rPr>
      </w:pPr>
      <w:r w:rsidRPr="00810DA5">
        <w:rPr>
          <w:rFonts w:ascii="Times New Roman" w:eastAsia="Times New Roman" w:hAnsi="Times New Roman" w:cs="Times New Roman"/>
          <w:color w:val="000000"/>
          <w:sz w:val="24"/>
          <w:szCs w:val="24"/>
          <w:lang w:eastAsia="pl-PL"/>
        </w:rPr>
        <w:t>Proponowany projekt nie wpływa na sposób ustalania składek opłacanych przez przedsiębiorców. Zmiany w systemie ubezpieczeń społecznych pracowników dotyczą wszystkich ubezpieczonych. W związku z tym nie zachodzi zjawisko dyskryminacji określonej grupy przedsiębiorców. </w:t>
      </w:r>
    </w:p>
    <w:p w:rsidR="0019797A" w:rsidRDefault="0019797A" w:rsidP="0019797A">
      <w:pPr>
        <w:spacing w:after="0" w:line="360" w:lineRule="auto"/>
        <w:textAlignment w:val="baseline"/>
        <w:rPr>
          <w:rFonts w:ascii="Times New Roman" w:eastAsia="Times New Roman" w:hAnsi="Times New Roman" w:cs="Times New Roman"/>
          <w:b/>
          <w:bCs/>
          <w:color w:val="000000"/>
          <w:sz w:val="24"/>
          <w:szCs w:val="24"/>
          <w:lang w:eastAsia="pl-PL"/>
        </w:rPr>
      </w:pPr>
    </w:p>
    <w:p w:rsidR="0019797A" w:rsidRDefault="0019797A" w:rsidP="0019797A">
      <w:pPr>
        <w:numPr>
          <w:ilvl w:val="0"/>
          <w:numId w:val="6"/>
        </w:numPr>
        <w:spacing w:after="0" w:line="360" w:lineRule="auto"/>
        <w:textAlignment w:val="baseline"/>
        <w:rPr>
          <w:rFonts w:ascii="Times New Roman" w:eastAsia="Times New Roman" w:hAnsi="Times New Roman" w:cs="Times New Roman"/>
          <w:b/>
          <w:bCs/>
          <w:color w:val="000000"/>
          <w:sz w:val="24"/>
          <w:szCs w:val="24"/>
          <w:lang w:eastAsia="pl-PL"/>
        </w:rPr>
      </w:pPr>
      <w:r>
        <w:rPr>
          <w:rFonts w:ascii="Times New Roman" w:eastAsia="Times New Roman" w:hAnsi="Times New Roman" w:cs="Times New Roman"/>
          <w:b/>
          <w:bCs/>
          <w:color w:val="000000"/>
          <w:sz w:val="24"/>
          <w:szCs w:val="24"/>
          <w:lang w:eastAsia="pl-PL"/>
        </w:rPr>
        <w:t>Konsultacje Społeczne</w:t>
      </w:r>
    </w:p>
    <w:p w:rsidR="0019797A" w:rsidRDefault="0019797A" w:rsidP="0019797A">
      <w:pPr>
        <w:spacing w:after="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Proponowany projekt nie był poddawany konsultacjom społecznym.</w:t>
      </w:r>
    </w:p>
    <w:p w:rsidR="0019797A" w:rsidRDefault="0019797A" w:rsidP="0019797A">
      <w:pPr>
        <w:spacing w:after="0" w:line="360" w:lineRule="auto"/>
        <w:jc w:val="both"/>
        <w:rPr>
          <w:rFonts w:ascii="Times New Roman" w:eastAsia="Times New Roman" w:hAnsi="Times New Roman" w:cs="Times New Roman"/>
          <w:sz w:val="24"/>
          <w:szCs w:val="24"/>
          <w:lang w:eastAsia="pl-PL"/>
        </w:rPr>
      </w:pPr>
    </w:p>
    <w:p w:rsidR="0019797A" w:rsidRPr="00B05CC3" w:rsidRDefault="0019797A" w:rsidP="0019797A">
      <w:pPr>
        <w:spacing w:after="0" w:line="360" w:lineRule="auto"/>
        <w:jc w:val="both"/>
        <w:rPr>
          <w:rFonts w:ascii="Times New Roman" w:eastAsia="Times New Roman" w:hAnsi="Times New Roman" w:cs="Times New Roman"/>
          <w:b/>
          <w:sz w:val="24"/>
          <w:szCs w:val="24"/>
          <w:lang w:eastAsia="pl-PL"/>
        </w:rPr>
      </w:pPr>
      <w:r w:rsidRPr="00B05CC3">
        <w:rPr>
          <w:rFonts w:ascii="Times New Roman" w:eastAsia="Times New Roman" w:hAnsi="Times New Roman" w:cs="Times New Roman"/>
          <w:b/>
          <w:sz w:val="24"/>
          <w:szCs w:val="24"/>
          <w:lang w:eastAsia="pl-PL"/>
        </w:rPr>
        <w:t>8.</w:t>
      </w:r>
      <w:r w:rsidRPr="00B05CC3">
        <w:rPr>
          <w:rFonts w:ascii="Times New Roman" w:eastAsia="Times New Roman" w:hAnsi="Times New Roman" w:cs="Times New Roman"/>
          <w:b/>
          <w:sz w:val="24"/>
          <w:szCs w:val="24"/>
          <w:lang w:eastAsia="pl-PL"/>
        </w:rPr>
        <w:tab/>
        <w:t xml:space="preserve">Założenia projektów wykonawczych do poselskiego projektu ustawy o zmianie ustawy o systemie ubezpieczeń społecznych oraz niektórych innych ustaw </w:t>
      </w:r>
    </w:p>
    <w:p w:rsidR="0019797A" w:rsidRPr="00B05CC3" w:rsidRDefault="0019797A" w:rsidP="0019797A">
      <w:pPr>
        <w:spacing w:after="0" w:line="360" w:lineRule="auto"/>
        <w:jc w:val="both"/>
        <w:rPr>
          <w:rFonts w:ascii="Times New Roman" w:eastAsia="Times New Roman" w:hAnsi="Times New Roman" w:cs="Times New Roman"/>
          <w:sz w:val="24"/>
          <w:szCs w:val="24"/>
          <w:lang w:eastAsia="pl-PL"/>
        </w:rPr>
      </w:pPr>
    </w:p>
    <w:p w:rsidR="0019797A" w:rsidRPr="00B05CC3" w:rsidRDefault="0019797A" w:rsidP="0019797A">
      <w:pPr>
        <w:spacing w:after="0" w:line="360" w:lineRule="auto"/>
        <w:jc w:val="both"/>
        <w:rPr>
          <w:rFonts w:ascii="Times New Roman" w:eastAsia="Times New Roman" w:hAnsi="Times New Roman" w:cs="Times New Roman"/>
          <w:sz w:val="24"/>
          <w:szCs w:val="24"/>
          <w:lang w:eastAsia="pl-PL"/>
        </w:rPr>
      </w:pPr>
      <w:r w:rsidRPr="00B05CC3">
        <w:rPr>
          <w:rFonts w:ascii="Times New Roman" w:eastAsia="Times New Roman" w:hAnsi="Times New Roman" w:cs="Times New Roman"/>
          <w:sz w:val="24"/>
          <w:szCs w:val="24"/>
          <w:lang w:eastAsia="pl-PL"/>
        </w:rPr>
        <w:lastRenderedPageBreak/>
        <w:t xml:space="preserve">Proponowane zmiany będą wiązały się z koniecznością wydania rozporządzenia zmieniającego rozporządzenie w sprawie szczegółowych zasad ustalania podstawy wymiaru składek na ubezpieczenia emerytalne i rentowe (Dz.U. z 2017 r. poz. 1949 </w:t>
      </w:r>
      <w:proofErr w:type="spellStart"/>
      <w:r w:rsidRPr="00B05CC3">
        <w:rPr>
          <w:rFonts w:ascii="Times New Roman" w:eastAsia="Times New Roman" w:hAnsi="Times New Roman" w:cs="Times New Roman"/>
          <w:sz w:val="24"/>
          <w:szCs w:val="24"/>
          <w:lang w:eastAsia="pl-PL"/>
        </w:rPr>
        <w:t>t.j</w:t>
      </w:r>
      <w:proofErr w:type="spellEnd"/>
      <w:r w:rsidRPr="00B05CC3">
        <w:rPr>
          <w:rFonts w:ascii="Times New Roman" w:eastAsia="Times New Roman" w:hAnsi="Times New Roman" w:cs="Times New Roman"/>
          <w:sz w:val="24"/>
          <w:szCs w:val="24"/>
          <w:lang w:eastAsia="pl-PL"/>
        </w:rPr>
        <w:t xml:space="preserve">.) oraz obwieszczenia w sprawie ustalenia najwyższej emerytury na rok 2021. </w:t>
      </w:r>
    </w:p>
    <w:p w:rsidR="0019797A" w:rsidRPr="00B05CC3" w:rsidRDefault="0019797A" w:rsidP="0019797A">
      <w:pPr>
        <w:spacing w:after="0" w:line="360" w:lineRule="auto"/>
        <w:jc w:val="both"/>
        <w:rPr>
          <w:rFonts w:ascii="Times New Roman" w:eastAsia="Times New Roman" w:hAnsi="Times New Roman" w:cs="Times New Roman"/>
          <w:sz w:val="24"/>
          <w:szCs w:val="24"/>
          <w:lang w:eastAsia="pl-PL"/>
        </w:rPr>
      </w:pPr>
    </w:p>
    <w:p w:rsidR="0019797A" w:rsidRPr="00B05CC3" w:rsidRDefault="0019797A" w:rsidP="0019797A">
      <w:pPr>
        <w:spacing w:after="0" w:line="360" w:lineRule="auto"/>
        <w:jc w:val="both"/>
        <w:rPr>
          <w:rFonts w:ascii="Times New Roman" w:eastAsia="Times New Roman" w:hAnsi="Times New Roman" w:cs="Times New Roman"/>
          <w:sz w:val="24"/>
          <w:szCs w:val="24"/>
          <w:u w:val="single"/>
          <w:lang w:eastAsia="pl-PL"/>
        </w:rPr>
      </w:pPr>
      <w:r>
        <w:rPr>
          <w:rFonts w:ascii="Times New Roman" w:eastAsia="Times New Roman" w:hAnsi="Times New Roman" w:cs="Times New Roman"/>
          <w:sz w:val="24"/>
          <w:szCs w:val="24"/>
          <w:lang w:eastAsia="pl-PL"/>
        </w:rPr>
        <w:t>a</w:t>
      </w:r>
      <w:r w:rsidRPr="00B05CC3">
        <w:rPr>
          <w:rFonts w:ascii="Times New Roman" w:eastAsia="Times New Roman" w:hAnsi="Times New Roman" w:cs="Times New Roman"/>
          <w:sz w:val="24"/>
          <w:szCs w:val="24"/>
          <w:lang w:eastAsia="pl-PL"/>
        </w:rPr>
        <w:t xml:space="preserve">. </w:t>
      </w:r>
      <w:r w:rsidRPr="00B05CC3">
        <w:rPr>
          <w:rFonts w:ascii="Times New Roman" w:eastAsia="Times New Roman" w:hAnsi="Times New Roman" w:cs="Times New Roman"/>
          <w:sz w:val="24"/>
          <w:szCs w:val="24"/>
          <w:u w:val="single"/>
          <w:lang w:eastAsia="pl-PL"/>
        </w:rPr>
        <w:t>Założenia do projektu rozporządzenia zmieniającego rozporządzenie w sprawie szczegółowych zasad ustalania podstawy wymiaru składek na ubezpieczenia emerytalne i rentowe</w:t>
      </w:r>
    </w:p>
    <w:p w:rsidR="0019797A" w:rsidRPr="00B05CC3" w:rsidRDefault="0019797A" w:rsidP="0019797A">
      <w:pPr>
        <w:spacing w:after="0" w:line="360" w:lineRule="auto"/>
        <w:jc w:val="both"/>
        <w:rPr>
          <w:rFonts w:ascii="Times New Roman" w:eastAsia="Times New Roman" w:hAnsi="Times New Roman" w:cs="Times New Roman"/>
          <w:sz w:val="24"/>
          <w:szCs w:val="24"/>
          <w:lang w:eastAsia="pl-PL"/>
        </w:rPr>
      </w:pPr>
      <w:r w:rsidRPr="00B05CC3">
        <w:rPr>
          <w:rFonts w:ascii="Times New Roman" w:eastAsia="Times New Roman" w:hAnsi="Times New Roman" w:cs="Times New Roman"/>
          <w:sz w:val="24"/>
          <w:szCs w:val="24"/>
          <w:lang w:eastAsia="pl-PL"/>
        </w:rPr>
        <w:tab/>
        <w:t>Rozporządzenie zmieniające rozporządzenie w sprawie szczegółowych zasad ustalania podstawy wymiaru składek na ubezpieczenia emerytalne i rentowe wiąże się z uchyleniem jednej z podstaw prawnych w wyniku wejścia w życie proponowanej ustawy (art. 19 ust. 10). Podmiotem właściwym do wydania rozporządzenia będzie Minister Rodziny, Pracy i Polityki Społecznej. Zakres przedmiotowy będzie obejmował skreślenie §  6-8 rozporządzenia oraz ustalenie dnia wejścia w życie na 1 stycznia 2021 r.</w:t>
      </w:r>
    </w:p>
    <w:p w:rsidR="0019797A" w:rsidRPr="00B05CC3" w:rsidRDefault="0019797A" w:rsidP="0019797A">
      <w:pPr>
        <w:spacing w:after="0" w:line="360" w:lineRule="auto"/>
        <w:jc w:val="both"/>
        <w:rPr>
          <w:rFonts w:ascii="Times New Roman" w:eastAsia="Times New Roman" w:hAnsi="Times New Roman" w:cs="Times New Roman"/>
          <w:sz w:val="24"/>
          <w:szCs w:val="24"/>
          <w:lang w:eastAsia="pl-PL"/>
        </w:rPr>
      </w:pPr>
    </w:p>
    <w:p w:rsidR="0019797A" w:rsidRPr="00B05CC3" w:rsidRDefault="0019797A" w:rsidP="0019797A">
      <w:pPr>
        <w:spacing w:after="0" w:line="360" w:lineRule="auto"/>
        <w:jc w:val="both"/>
        <w:rPr>
          <w:rFonts w:ascii="Times New Roman" w:eastAsia="Times New Roman" w:hAnsi="Times New Roman" w:cs="Times New Roman"/>
          <w:sz w:val="24"/>
          <w:szCs w:val="24"/>
          <w:u w:val="single"/>
          <w:lang w:eastAsia="pl-PL"/>
        </w:rPr>
      </w:pPr>
      <w:r>
        <w:rPr>
          <w:rFonts w:ascii="Times New Roman" w:eastAsia="Times New Roman" w:hAnsi="Times New Roman" w:cs="Times New Roman"/>
          <w:sz w:val="24"/>
          <w:szCs w:val="24"/>
          <w:lang w:eastAsia="pl-PL"/>
        </w:rPr>
        <w:t>b</w:t>
      </w:r>
      <w:r w:rsidRPr="00B05CC3">
        <w:rPr>
          <w:rFonts w:ascii="Times New Roman" w:eastAsia="Times New Roman" w:hAnsi="Times New Roman" w:cs="Times New Roman"/>
          <w:sz w:val="24"/>
          <w:szCs w:val="24"/>
          <w:lang w:eastAsia="pl-PL"/>
        </w:rPr>
        <w:t xml:space="preserve">. </w:t>
      </w:r>
      <w:r w:rsidRPr="00B05CC3">
        <w:rPr>
          <w:rFonts w:ascii="Times New Roman" w:eastAsia="Times New Roman" w:hAnsi="Times New Roman" w:cs="Times New Roman"/>
          <w:sz w:val="24"/>
          <w:szCs w:val="24"/>
          <w:u w:val="single"/>
          <w:lang w:eastAsia="pl-PL"/>
        </w:rPr>
        <w:t>Założenia do projektu obwieszczenia w sprawie ustalenia najwyższej emerytury na rok 2021</w:t>
      </w:r>
    </w:p>
    <w:p w:rsidR="0019797A" w:rsidRPr="00B05CC3" w:rsidRDefault="0019797A" w:rsidP="0019797A">
      <w:pPr>
        <w:spacing w:after="0" w:line="360" w:lineRule="auto"/>
        <w:jc w:val="both"/>
        <w:rPr>
          <w:rFonts w:ascii="Times New Roman" w:eastAsia="Times New Roman" w:hAnsi="Times New Roman" w:cs="Times New Roman"/>
          <w:sz w:val="24"/>
          <w:szCs w:val="24"/>
          <w:lang w:eastAsia="pl-PL"/>
        </w:rPr>
      </w:pPr>
      <w:r w:rsidRPr="00B05CC3">
        <w:rPr>
          <w:rFonts w:ascii="Times New Roman" w:eastAsia="Times New Roman" w:hAnsi="Times New Roman" w:cs="Times New Roman"/>
          <w:sz w:val="24"/>
          <w:szCs w:val="24"/>
          <w:lang w:eastAsia="pl-PL"/>
        </w:rPr>
        <w:tab/>
        <w:t>Obwieszczenie w sprawie ustalenia najwyższej emerytury na rok 2021 znajduje swoją podstawę prawną w proponowanym art. 26d ust. 2 zmienianej ustawy. Podmiotem właściwym do wydania obwieszczenia będzie Minister Rodziny, Pracy i Polityki Społecznej. Zakres przedmiotowy w zakres przedmiotowy wejdzie ustalenie najwyższej emerytury na rok 2021 równej wysokości sześciokrotności kwoty minimalnego wynagrodzenia obowiązującego w lipcu 2020 r., określonego w rozporządzeniu Rady Ministrów w sprawie wysokości minimalnego wynagrodzenia za pracę oraz wysokości minimalnej stawki godzinowej w 2020 r. (Dz.U. z 2019 r. poz. 1778).</w:t>
      </w:r>
    </w:p>
    <w:p w:rsidR="00E97878" w:rsidRDefault="00E97878">
      <w:bookmarkStart w:id="0" w:name="_GoBack"/>
      <w:bookmarkEnd w:id="0"/>
    </w:p>
    <w:sectPr w:rsidR="00E9787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B3B05"/>
    <w:multiLevelType w:val="multilevel"/>
    <w:tmpl w:val="D5AEF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3B2DE0"/>
    <w:multiLevelType w:val="multilevel"/>
    <w:tmpl w:val="2E782C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B73764"/>
    <w:multiLevelType w:val="multilevel"/>
    <w:tmpl w:val="824643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A30110"/>
    <w:multiLevelType w:val="multilevel"/>
    <w:tmpl w:val="E138A8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2E1DE8"/>
    <w:multiLevelType w:val="multilevel"/>
    <w:tmpl w:val="11DECE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AF7BD7"/>
    <w:multiLevelType w:val="multilevel"/>
    <w:tmpl w:val="663472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lvlOverride w:ilvl="0">
      <w:lvl w:ilvl="0">
        <w:numFmt w:val="decimal"/>
        <w:lvlText w:val="%1."/>
        <w:lvlJc w:val="left"/>
      </w:lvl>
    </w:lvlOverride>
  </w:num>
  <w:num w:numId="3">
    <w:abstractNumId w:val="1"/>
    <w:lvlOverride w:ilvl="0">
      <w:lvl w:ilvl="0">
        <w:numFmt w:val="decimal"/>
        <w:lvlText w:val="%1."/>
        <w:lvlJc w:val="left"/>
      </w:lvl>
    </w:lvlOverride>
  </w:num>
  <w:num w:numId="4">
    <w:abstractNumId w:val="2"/>
    <w:lvlOverride w:ilvl="0">
      <w:lvl w:ilvl="0">
        <w:numFmt w:val="decimal"/>
        <w:lvlText w:val="%1."/>
        <w:lvlJc w:val="left"/>
      </w:lvl>
    </w:lvlOverride>
  </w:num>
  <w:num w:numId="5">
    <w:abstractNumId w:val="5"/>
    <w:lvlOverride w:ilvl="0">
      <w:lvl w:ilvl="0">
        <w:numFmt w:val="decimal"/>
        <w:lvlText w:val="%1."/>
        <w:lvlJc w:val="left"/>
      </w:lvl>
    </w:lvlOverride>
  </w:num>
  <w:num w:numId="6">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97A"/>
    <w:rsid w:val="0019797A"/>
    <w:rsid w:val="00E978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EB1AE"/>
  <w15:chartTrackingRefBased/>
  <w15:docId w15:val="{1DD51FF2-552E-42DE-8CB8-DF1EFFE5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9797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19797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979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2502</Words>
  <Characters>15018</Characters>
  <Application>Microsoft Office Word</Application>
  <DocSecurity>0</DocSecurity>
  <Lines>125</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Kuszłejko</dc:creator>
  <cp:keywords/>
  <dc:description/>
  <cp:lastModifiedBy>Tomasz Kuszłejko</cp:lastModifiedBy>
  <cp:revision>1</cp:revision>
  <cp:lastPrinted>2019-12-17T10:56:00Z</cp:lastPrinted>
  <dcterms:created xsi:type="dcterms:W3CDTF">2019-12-17T10:55:00Z</dcterms:created>
  <dcterms:modified xsi:type="dcterms:W3CDTF">2019-12-17T10:57:00Z</dcterms:modified>
</cp:coreProperties>
</file>